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961D" w14:textId="77777777" w:rsidR="005F4AD3" w:rsidRPr="00EB0DC7" w:rsidRDefault="005F4AD3" w:rsidP="005F4AD3">
      <w:pPr>
        <w:jc w:val="right"/>
        <w:rPr>
          <w:sz w:val="24"/>
        </w:rPr>
      </w:pPr>
      <w:r w:rsidRPr="00EB0DC7">
        <w:rPr>
          <w:sz w:val="24"/>
        </w:rPr>
        <w:t>Anexa nr. 1 la Regulament</w:t>
      </w:r>
    </w:p>
    <w:p w14:paraId="490FD623" w14:textId="77777777" w:rsidR="005F4AD3" w:rsidRDefault="005F4AD3" w:rsidP="005F4AD3">
      <w:pPr>
        <w:rPr>
          <w:sz w:val="24"/>
        </w:rPr>
      </w:pPr>
    </w:p>
    <w:p w14:paraId="7F96E370" w14:textId="77777777" w:rsidR="005F4AD3" w:rsidRPr="00AC4F55" w:rsidRDefault="005F4AD3" w:rsidP="005F4AD3">
      <w:pPr>
        <w:rPr>
          <w:b/>
          <w:bCs/>
          <w:szCs w:val="28"/>
        </w:rPr>
      </w:pPr>
      <w:r w:rsidRPr="00AC4F55">
        <w:rPr>
          <w:b/>
          <w:bCs/>
          <w:szCs w:val="28"/>
        </w:rPr>
        <w:t>Categorii de vehicule supuse înregistrării</w:t>
      </w:r>
    </w:p>
    <w:p w14:paraId="5AA04103" w14:textId="77777777" w:rsidR="005F4AD3" w:rsidRPr="00EB0DC7" w:rsidRDefault="005F4AD3" w:rsidP="005F4AD3">
      <w:pPr>
        <w:rPr>
          <w:sz w:val="24"/>
        </w:rPr>
      </w:pPr>
    </w:p>
    <w:p w14:paraId="50EAFDB6" w14:textId="77777777" w:rsidR="005F4AD3" w:rsidRPr="00EB0DC7" w:rsidRDefault="005F4AD3" w:rsidP="005F4AD3">
      <w:pPr>
        <w:rPr>
          <w:sz w:val="24"/>
        </w:rPr>
      </w:pPr>
      <w:r w:rsidRPr="00EB0DC7">
        <w:rPr>
          <w:sz w:val="24"/>
        </w:rPr>
        <w:t>(1).-Categoriile de vehicule supuse înregistrării la nivelul primăriilor comunelor, a orașelor, a municipiilor și a sectoarelor municipiului București sunt următoarele:</w:t>
      </w:r>
    </w:p>
    <w:p w14:paraId="6213FEFD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a)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troleibuzele</w:t>
      </w:r>
      <w:r w:rsidRPr="00EB0DC7">
        <w:rPr>
          <w:sz w:val="24"/>
        </w:rPr>
        <w:t>, potrivit Reglementărilor privind omologarea de tip și eliberarea cărții de identitate a vehiculelor rutiere, precum și omologarea de tip a produselor utilizate la acestea - RNTR 2, aprobate prin Ordinul ministrului transporturilor, infrastructurii și comunicațiilor nr. 2.224/2020;</w:t>
      </w:r>
    </w:p>
    <w:p w14:paraId="342A21E1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b)</w:t>
      </w:r>
      <w:r>
        <w:rPr>
          <w:sz w:val="24"/>
        </w:rPr>
        <w:t xml:space="preserve"> </w:t>
      </w:r>
      <w:proofErr w:type="spellStart"/>
      <w:r w:rsidRPr="00AC4F55">
        <w:rPr>
          <w:b/>
          <w:bCs/>
          <w:sz w:val="24"/>
        </w:rPr>
        <w:t>mopedele</w:t>
      </w:r>
      <w:proofErr w:type="spellEnd"/>
      <w:r w:rsidRPr="00EB0DC7">
        <w:rPr>
          <w:sz w:val="24"/>
        </w:rPr>
        <w:t xml:space="preserve"> din categoriile </w:t>
      </w:r>
      <w:r w:rsidRPr="00AC4F55">
        <w:rPr>
          <w:b/>
          <w:bCs/>
          <w:sz w:val="24"/>
        </w:rPr>
        <w:t>Lle - B și L2e,</w:t>
      </w:r>
      <w:r w:rsidRPr="00EB0DC7">
        <w:rPr>
          <w:sz w:val="24"/>
        </w:rPr>
        <w:t xml:space="preserve"> precum și </w:t>
      </w:r>
      <w:proofErr w:type="spellStart"/>
      <w:r w:rsidRPr="00AC4F55">
        <w:rPr>
          <w:b/>
          <w:bCs/>
          <w:sz w:val="24"/>
        </w:rPr>
        <w:t>cvadriciclurile</w:t>
      </w:r>
      <w:proofErr w:type="spellEnd"/>
      <w:r w:rsidRPr="00EB0DC7">
        <w:rPr>
          <w:sz w:val="24"/>
        </w:rPr>
        <w:t xml:space="preserve"> ușoare din categoria </w:t>
      </w:r>
      <w:r w:rsidRPr="00AC4F55">
        <w:rPr>
          <w:b/>
          <w:bCs/>
          <w:sz w:val="24"/>
        </w:rPr>
        <w:t>L6</w:t>
      </w:r>
      <w:r w:rsidRPr="00EB0DC7">
        <w:rPr>
          <w:sz w:val="24"/>
        </w:rPr>
        <w:t xml:space="preserve">, potrivit prevederilor Regulamentului (UE) nr. 168/2013 al Parlamentului European și al Consiliului din 15 ianuarie 2013 privind omologarea și supravegherea pieței pentru vehiculele cu două sau trei roți și pentru </w:t>
      </w:r>
      <w:proofErr w:type="spellStart"/>
      <w:r w:rsidRPr="00EB0DC7">
        <w:rPr>
          <w:sz w:val="24"/>
        </w:rPr>
        <w:t>cvadricicluri</w:t>
      </w:r>
      <w:proofErr w:type="spellEnd"/>
      <w:r w:rsidRPr="00EB0DC7">
        <w:rPr>
          <w:sz w:val="24"/>
        </w:rPr>
        <w:t>;</w:t>
      </w:r>
    </w:p>
    <w:p w14:paraId="4F6272C7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c)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tractoarele agricole sau forestiere</w:t>
      </w:r>
      <w:r w:rsidRPr="00EB0DC7">
        <w:rPr>
          <w:sz w:val="24"/>
        </w:rPr>
        <w:t xml:space="preserve"> din categoriile </w:t>
      </w:r>
      <w:r w:rsidRPr="00AC4F55">
        <w:rPr>
          <w:b/>
          <w:bCs/>
          <w:sz w:val="24"/>
        </w:rPr>
        <w:t>T și C</w:t>
      </w:r>
      <w:r w:rsidRPr="00EB0DC7">
        <w:rPr>
          <w:sz w:val="24"/>
        </w:rPr>
        <w:t>, potrivit prevederilor Regulamentului (UE) nr. 167/2013 al Parlamentului European și al Consiliului din 5 februarie 2013 privind omologarea și supravegherea pieței pentru vehiculele agricole și forestiere;</w:t>
      </w:r>
    </w:p>
    <w:p w14:paraId="0EDA256C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d)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remorcile și semiremorcile</w:t>
      </w:r>
      <w:r w:rsidRPr="00EB0DC7">
        <w:rPr>
          <w:sz w:val="24"/>
        </w:rPr>
        <w:t xml:space="preserve"> </w:t>
      </w:r>
      <w:r w:rsidRPr="00AC4F55">
        <w:rPr>
          <w:b/>
          <w:bCs/>
          <w:sz w:val="24"/>
        </w:rPr>
        <w:t>destinate a fi tractate de tractoarele agricole sau forestiere din categoria R,</w:t>
      </w:r>
      <w:r w:rsidRPr="00EB0DC7">
        <w:rPr>
          <w:sz w:val="24"/>
        </w:rPr>
        <w:t xml:space="preserve"> potrivit prevederilor Regulamentului (UE) nr. 167/2013 al Parlamentului European și al Consiliului din 5 februarie 2013;</w:t>
      </w:r>
    </w:p>
    <w:p w14:paraId="61DA4DA4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e)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utilajele tractate interschimbabile agricole sau forestiere din categoria S,</w:t>
      </w:r>
      <w:r w:rsidRPr="00EB0DC7">
        <w:rPr>
          <w:sz w:val="24"/>
        </w:rPr>
        <w:t xml:space="preserve"> potrivit prevederilor Regulamentului (UE) nr. 167/2013 al Parlamentului European și al Consiliului din 5 februarie 2013;</w:t>
      </w:r>
    </w:p>
    <w:p w14:paraId="0EE16945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f)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vehiculele destinate efectuării de servicii ori lucrări</w:t>
      </w:r>
      <w:r w:rsidRPr="00EB0DC7">
        <w:rPr>
          <w:sz w:val="24"/>
        </w:rPr>
        <w:t xml:space="preserve">, denumite </w:t>
      </w:r>
      <w:r w:rsidRPr="00AC4F55">
        <w:rPr>
          <w:b/>
          <w:bCs/>
          <w:sz w:val="24"/>
        </w:rPr>
        <w:t>mașini autopropulsate</w:t>
      </w:r>
      <w:r w:rsidRPr="00EB0DC7">
        <w:rPr>
          <w:sz w:val="24"/>
        </w:rPr>
        <w:t>, precum și vehiculele lente, potrivit prevederilor Ordonanței de urgență a Guvernului nr. 195/2002, republicată, cu modificările și completările ulterioare;</w:t>
      </w:r>
    </w:p>
    <w:p w14:paraId="789023A0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g)</w:t>
      </w:r>
      <w:r>
        <w:rPr>
          <w:sz w:val="24"/>
        </w:rPr>
        <w:t xml:space="preserve"> </w:t>
      </w:r>
      <w:r w:rsidRPr="00EB0DC7">
        <w:rPr>
          <w:sz w:val="24"/>
        </w:rPr>
        <w:t xml:space="preserve">vehiculele care se deplasează pe șine, denumite </w:t>
      </w:r>
      <w:r w:rsidRPr="00AC4F55">
        <w:rPr>
          <w:b/>
          <w:bCs/>
          <w:sz w:val="24"/>
        </w:rPr>
        <w:t>tramvaie</w:t>
      </w:r>
      <w:r w:rsidRPr="00EB0DC7">
        <w:rPr>
          <w:sz w:val="24"/>
        </w:rPr>
        <w:t>, potrivit prevederilor Ordonanței de urgență a Guvernului nr. 195/2002, republicată, cu modificările și completările ulterioare;</w:t>
      </w:r>
    </w:p>
    <w:p w14:paraId="4CB3ADBB" w14:textId="77777777" w:rsidR="005F4AD3" w:rsidRPr="00EB0DC7" w:rsidRDefault="005F4AD3" w:rsidP="005F4AD3">
      <w:pPr>
        <w:ind w:firstLine="689"/>
        <w:rPr>
          <w:sz w:val="24"/>
        </w:rPr>
      </w:pPr>
      <w:r w:rsidRPr="00EB0DC7">
        <w:rPr>
          <w:sz w:val="24"/>
        </w:rPr>
        <w:t>h)</w:t>
      </w:r>
      <w:r>
        <w:rPr>
          <w:sz w:val="24"/>
        </w:rPr>
        <w:t xml:space="preserve"> </w:t>
      </w:r>
      <w:r w:rsidRPr="00AC4F55">
        <w:rPr>
          <w:b/>
          <w:bCs/>
          <w:sz w:val="24"/>
        </w:rPr>
        <w:t>vehiculele cu tracțiune animală</w:t>
      </w:r>
      <w:r w:rsidRPr="00EB0DC7">
        <w:rPr>
          <w:sz w:val="24"/>
        </w:rPr>
        <w:t>, potrivit prevederilor Ordonanței de urgență a Guvernului nr. 195/2002, republicată, cu modificările și completările ulterioare.</w:t>
      </w:r>
    </w:p>
    <w:p w14:paraId="241CBB79" w14:textId="77777777" w:rsidR="005F4AD3" w:rsidRPr="00AC4F55" w:rsidRDefault="005F4AD3" w:rsidP="005F4AD3">
      <w:pPr>
        <w:rPr>
          <w:b/>
          <w:bCs/>
          <w:i/>
          <w:iCs/>
          <w:sz w:val="24"/>
        </w:rPr>
      </w:pPr>
      <w:r w:rsidRPr="00AC4F55">
        <w:rPr>
          <w:b/>
          <w:bCs/>
          <w:i/>
          <w:iCs/>
          <w:sz w:val="24"/>
        </w:rPr>
        <w:t xml:space="preserve">(2).-Vehiculele prevăzute la alin. (1) lit. a) - e) pot fi înregistrate la nivelul primăriilor comunelor, a orașelor, a municipiilor și a sectoarelor municipiului București numai dacă Regia Autonomă "Registrul Auto Român" a emis </w:t>
      </w:r>
      <w:r w:rsidRPr="00FD6206">
        <w:rPr>
          <w:b/>
          <w:bCs/>
          <w:i/>
          <w:iCs/>
          <w:szCs w:val="28"/>
          <w:u w:val="single"/>
        </w:rPr>
        <w:t>cartea de identitate a vehiculului</w:t>
      </w:r>
      <w:r w:rsidRPr="00AC4F55">
        <w:rPr>
          <w:b/>
          <w:bCs/>
          <w:i/>
          <w:iCs/>
          <w:sz w:val="24"/>
        </w:rPr>
        <w:t xml:space="preserve"> pentru acestea.</w:t>
      </w:r>
    </w:p>
    <w:p w14:paraId="7D50D0F1" w14:textId="77777777" w:rsidR="005F4AD3" w:rsidRDefault="005F4AD3" w:rsidP="005F4AD3">
      <w:pPr>
        <w:rPr>
          <w:b/>
          <w:bCs/>
          <w:i/>
          <w:iCs/>
          <w:sz w:val="24"/>
        </w:rPr>
      </w:pPr>
      <w:r w:rsidRPr="00AC4F55">
        <w:rPr>
          <w:b/>
          <w:bCs/>
          <w:i/>
          <w:iCs/>
          <w:sz w:val="24"/>
        </w:rPr>
        <w:t xml:space="preserve">(3).-Vehiculele prevăzute la alin. (1) lit. f) pot fi înregistrate la nivelul primăriilor comunelor, a orașelor, a municipiilor și a sectoarelor municipiului București numai dacă Regia Autonomă "Registrul Auto Român” a emis </w:t>
      </w:r>
      <w:r w:rsidRPr="00FD6206">
        <w:rPr>
          <w:b/>
          <w:bCs/>
          <w:i/>
          <w:iCs/>
          <w:szCs w:val="28"/>
          <w:u w:val="single"/>
        </w:rPr>
        <w:t>atestatul tehnic</w:t>
      </w:r>
      <w:r w:rsidRPr="00AC4F55">
        <w:rPr>
          <w:b/>
          <w:bCs/>
          <w:i/>
          <w:iCs/>
          <w:sz w:val="24"/>
        </w:rPr>
        <w:t xml:space="preserve"> pentru acestea.</w:t>
      </w:r>
    </w:p>
    <w:p w14:paraId="206CB267" w14:textId="77777777" w:rsidR="005F4AD3" w:rsidRDefault="005F4AD3" w:rsidP="005F4AD3">
      <w:pPr>
        <w:rPr>
          <w:b/>
          <w:bCs/>
          <w:i/>
          <w:iCs/>
          <w:sz w:val="24"/>
        </w:rPr>
      </w:pPr>
    </w:p>
    <w:p w14:paraId="14446492" w14:textId="77777777" w:rsidR="009F3633" w:rsidRDefault="009F3633"/>
    <w:sectPr w:rsidR="009F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8"/>
    <w:rsid w:val="000C0951"/>
    <w:rsid w:val="00205D3C"/>
    <w:rsid w:val="005F4AD3"/>
    <w:rsid w:val="009F3633"/>
    <w:rsid w:val="00CD4B78"/>
    <w:rsid w:val="00D21BF8"/>
    <w:rsid w:val="00F269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DF20-D12B-43BD-A852-858B41D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D3"/>
    <w:pPr>
      <w:spacing w:after="12" w:line="249" w:lineRule="auto"/>
      <w:ind w:left="19" w:right="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21BF8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21BF8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21BF8"/>
    <w:pPr>
      <w:keepNext/>
      <w:keepLines/>
      <w:spacing w:before="160" w:after="80" w:line="259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21BF8"/>
    <w:pPr>
      <w:keepNext/>
      <w:keepLines/>
      <w:spacing w:before="80" w:after="40" w:line="259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21BF8"/>
    <w:pPr>
      <w:keepNext/>
      <w:keepLines/>
      <w:spacing w:before="80" w:after="40" w:line="259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21BF8"/>
    <w:pPr>
      <w:keepNext/>
      <w:keepLines/>
      <w:spacing w:before="40" w:after="0" w:line="259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21BF8"/>
    <w:pPr>
      <w:keepNext/>
      <w:keepLines/>
      <w:spacing w:before="40" w:after="0" w:line="259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21BF8"/>
    <w:pPr>
      <w:keepNext/>
      <w:keepLines/>
      <w:spacing w:after="0" w:line="259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21BF8"/>
    <w:pPr>
      <w:keepNext/>
      <w:keepLines/>
      <w:spacing w:after="0" w:line="259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2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2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21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21BF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21BF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21BF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21BF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21BF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21BF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21BF8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D2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21BF8"/>
    <w:pPr>
      <w:numPr>
        <w:ilvl w:val="1"/>
      </w:numPr>
      <w:spacing w:after="160" w:line="259" w:lineRule="auto"/>
      <w:ind w:left="19"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21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21BF8"/>
    <w:pPr>
      <w:spacing w:before="160" w:after="160" w:line="259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D21BF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21BF8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D21BF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2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21BF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2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Burla</dc:creator>
  <cp:keywords/>
  <dc:description/>
  <cp:lastModifiedBy>Primaria Burla</cp:lastModifiedBy>
  <cp:revision>3</cp:revision>
  <cp:lastPrinted>2025-07-16T11:57:00Z</cp:lastPrinted>
  <dcterms:created xsi:type="dcterms:W3CDTF">2025-07-10T11:17:00Z</dcterms:created>
  <dcterms:modified xsi:type="dcterms:W3CDTF">2025-07-16T11:58:00Z</dcterms:modified>
</cp:coreProperties>
</file>